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139</w:t>
      </w:r>
    </w:p>
    <w:p>
      <w:r>
        <w:t>Bundesgericht (BGE), 1970-07-27, DE</w:t>
      </w:r>
    </w:p>
    <w:p>
      <w:r>
        <w:rPr>
          <w:b/>
        </w:rPr>
        <w:t xml:space="preserve">Quelle: </w:t>
      </w:r>
      <w:r>
        <w:t>https://mcp.opencaselaw.ch/entscheid/bge_96 II 139</w:t>
      </w:r>
    </w:p>
    <w:p>
      <w:r>
        <w:t>FR: ATF 96 II 139</w:t>
      </w:r>
    </w:p>
    <w:p>
      <w:r>
        <w:t>IT: DTF 96 II 139</w:t>
      </w:r>
    </w:p>
    <w:p>
      <w:pPr>
        <w:pStyle w:val="Heading2"/>
      </w:pPr>
      <w:r>
        <w:t>Regeste</w:t>
      </w:r>
    </w:p>
    <w:p>
      <w:r>
        <w:t>Regeste Konkurrenzverbot. Art. 357 OR. Ein in zeitlicher Hinsicht unbeschränktes Konkurrenzverbot ist nicht als Ganzes ungültig, sondern innerhalb der zulässigen Grenze verbindlich (Erw. 2). Beschränkung des Konkurrenzverbots auf das zeitlich erlaubte Mass (Erw. 3).</w:t>
      </w:r>
    </w:p>
    <w:p>
      <w:pPr>
        <w:pStyle w:val="Heading2"/>
      </w:pPr>
      <w:r>
        <w:t>Erwägungen</w:t>
      </w:r>
    </w:p>
    <w:p>
      <w:r>
        <w:rPr>
          <w:b/>
        </w:rPr>
        <w:t>E. 1</w:t>
      </w:r>
    </w:p>
    <w:p>
      <w:r>
        <w:t>(Prozessuales).</w:t>
      </w:r>
    </w:p>
    <w:p>
      <w:r>
        <w:rPr>
          <w:b/>
        </w:rPr>
        <w:t>E. 2</w:t>
      </w:r>
    </w:p>
    <w:p>
      <w:r>
        <w:t>Das Konkurrenzverbot des Dienstpflichtigen gegenüber dem Dienstherrn bedarf zu seiner Gültigkeit der schriftlichen Vereinbarung ( Art. 358 OR ). Der Kläger erachtet diese Form als nicht eingehalten, weil Ziffer 3 des Vertrages über ein wesentliches Element des Konkurrenzverbotes, nämlich über dessen Dauer nichts sage und die Formbedürftigkeit der Klausel deren Auslegung verbiete. Diese Auffassung hält nicht stand. Auch formbedürftige Verträge dürfen und müssen ausgelegt werden (vgl. z.B. BGE 92 II 348 , BGE 95 II 311 ). Nach den Regeln von Treu und Glauben, die für die Auslegung massgebend sind ( BGE 69 II 322 , BGE 80 II 31 f., BGE 87 II 242 , BGE 90 II 455 , BGE 95 II 437 ), auferlegt Ziffer 3 des Vertrages dem Kläger ein Konkurrenzverbot von unbeschränkter Dauer. Wer sich verpflichtet, etwas zu unterlassen, ohne ausdrücklich zu sagen, wie lange er gebunden sein wolle, verpflichtet sich, es jederzeit zu unterlassen, es wäre denn, dass besondere Umstände eine andere Auslegung der Klausel nahe legen. Solche Umstände werden hier nicht behauptet. Der vorliegenden Vertragsbestimmung kann daher nicht vorgeworfen werden, sie regle ein wesentliches Merkmal eines Konkurrenzverbotes nicht. Ob es auch der tatsächliche Wille des Klägers BGE 96 II 139 S. 142 war, die Konkurrenz während unbeschränkter Zeit zu unterlassen, ist unerheblich. Dass beide Parteien einen vom Wortlaut abweichenden inneren Willen gehabt hätten - der gemäss Art. 18 OR dem durch die Auslegung gewonnenen Sinn des Vertrages vorginge - macht der Kläger nicht geltend. Er bringt gegenteils vor, sie hätten an diesen Punkt überhaupt nicht gedacht. Eine andere Frage ist, ob die getroffene Regelung im Rahmen der Vertragsfreiheit bleibe. Art. 357 OR engt diese ein, indem er das Konkurrenzverbot als nur im Umfange einer nach Zeit, Ort und Gegenstand angemessenen Begrenzung verbindlich erklärt, damit das wirtschaftliche Fortkommen des Dienstpflichtigen nicht unbillig erschwert werde. Die Missachtung dieser Begrenzung macht das Konkurrenzverbot nicht als Ganzes ungültig. Innerhalb der zulässigen Grenze ist es verbindlich. Das ergibt sich nicht nur aus dem Wortlaut des Art. 357 OR , sondern entspricht auch der Rechtsprechung des Bundesgerichtes (z.B. BGE 43 II 661 , BGE 44 II 94 , BGE 91 II 380 Erw. 8). Ob die Vertragschliessenden dem Konkurrenzverbot vertraglich nach Zeit, Ort und Gegenstand bereits eine Grenze gezogen und diese nur nicht gesetzesgemäss bestimmt haben oder ob sie es unbeschränkt vereinbarten, macht keinen Unterschied. In dem in BGE 43 II 660 ff. veröffentlichten Falle war denn auch das Verbot in örtlicher Hinsicht im Vertrag nicht begrenzt worden, ohne dass das Bundesgericht daraus gefolgert hätte, es sei als Ganzes ungültig. Es ist nicht zu ersehen, inwiefern anders entschieden werden müsste, wenn im Vertrag nicht die örtliche, sondern die zeitliche Begrenzung fehlt. Im einen wie im anderen Falle lässt sich die vollständige Ungültigkeit auch nicht auf dem Umweg über einen Formmangel konstruieren. Die Begrenzung des Konkurrenzverbotes nach Zeit usw. ist nicht ein wesentlicher Punkt des Vertrages und damit ein Gebot der Form, sondern eine gesetzliche Folge der beschränkten Vertragsfreiheit. Die Schriftform ist zum Schutze des Dienstpflichtigen vorgeschrieben, der allein durch das Konkurrenzverbot verpflichtet wird und dessen Unterschrift allein nötig ist ( Art. 13 Abs. 1 OR ). Erklärt er in dieser Form, die Konkurrenz während unbestimmter Zeit unterlassen zu wollen, so weiss er, dass er während der beschränkten Zeit gebunden sein wird, für die Art. 357 OR diese Unterlassungspflicht zulässt. Er hat kein schutzwürdiges Interesse, dass eine beschränkte BGE 96 II 139 S. 143 Dauer der Bindung im Vertrag genannt werde, und zwar eine Dauer, die doch nicht notwendigerweise mit der nach Art. 357 zulässigen übereinstimmen würde.</w:t>
      </w:r>
    </w:p>
    <w:p>
      <w:r>
        <w:rPr>
          <w:b/>
        </w:rPr>
        <w:t>E. 3</w:t>
      </w:r>
    </w:p>
    <w:p>
      <w:r>
        <w:t>a) Das Konkurrenzverbot darf nach Zeit, Ort und Gegenstand nicht weiter gehen, als die berechtigten Interessen des Dienstherrn erfordern ( BGE 91 II 381 ). Unter diesem Gesichtspunkt ist im vorliegenden Falle ein dreijähriges Verbot nicht unangemessen. Der Kläger hat in seiner Tätigkeit als Leiter des Geschäftes der Beklagten nicht nur einen vollständigen Einblick in deren Kundenkreis erlangt, sondern auch Gelegenheit gehabt, mit der Kundschaft persönlich zu verkehren. Nach dem Vertrag stand ihm ausser der technischen auch die kaufmännische Abwicklung der Geschäfte zu; nur die Buchhaltung und der Zahlungsverkehr wurden vom Verwaltungsrat besorgt. Die Kunden mussten daher im Kläger die Seele des Geschäftes sehen. Die Gefahr, dass sie der Beklagten verloren gehen und sich dem Kläger zuwenden würden, wenn er in den Urkantonen ein Geschäft eröffnete oder für ein auswärts liegendes Geschäft in diesem Gebiete Kunden wärbe, ist gross. Dass die Kunden seine bisherige Tätigkeit in weniger als drei Jahren genügend vergessen werden, um sie nicht in die Waagschale zu werfen, wenn er sie für sein eigenes Geschäft zu werben versuchen würde, ist nicht anzunehmen. Innenausstattungen sind nicht Güter des täglichen Gebrauchs, sondern werden von ein und demselben Kunden in der Regel nur in grösseren Abständen bestellt. Sie werden auch nicht ohne Überlegung gekauft. Der Kunde pflegt zu bedenken, wer ihn früher bedient hat und wie er bedient worden ist. Der persönliche Verkehr mit der Person, die ihn beraten hat, spielt eine wesentliche Rolle. Er kann sich auch auf Interessenten auswirken, die noch nie bei der Beklagten bestellt haben, sich aber bei bisherigen Kunden über eine gute Bezugsquelle erkundigen. b) Das Konkurrenzverbot darf sodann dem Verpflichteten nach Zeit, Ort und Gegenstand das wirtschaftliche Fortkommen nicht unbillig erschweren. Dass und warum es unter diesem Gesichtspunkt unbillig sei, wenn es drei Jahre gelte, legt der Kläger nicht dar. Er macht nur geltend, er müsse im Kanton Schwyz wohnen, weil er dort eine Wohnung zu Eigentum besitze, die er nicht ohne schweren Verlust verkaufen könne. Abgesehen davon, dass er nicht näher ausführt, BGE 96 II 139 S. 144 warum dem so sei, und seine Behauptung in Zeiten grosser Nachfrage nach Wohnungen nicht ohne weiteres glaubhaft ist, kommt auf diesen angeblichen Umstand nichts an. Nachteile, die der zur Unterlassung von Konkurrenz Verpflichtete bei einem Wechsel des Wohnsitzes in seinem schon erworbenen Vermögen erleiden mag, können nicht einer "Erschwerung der wirtschaftlichen Fortkommens" gleichgesetzt werden. Eine solche liegt nur vor, wenn das Konkurrenzverbot dem Verpflichteten die künftige Erwerbsmöglichkeit ungebührlich beschränkt, sei es wegen der Dauer, des Ortes oder des Gegenstandes der Verbotes. Der Kläger erleidet in dieser Hinsicht keine unbillige Einbusse, wenn er Innenausstattungen während drei Jahren nur ausserhalb der Urkantone absetzen darf oder, falls er vor Ablauf dieser Zeitspanne in den Urkantonen tätig sein will, sich einem anderen Geschäftszweig zuwenden muss. Er kann etwa in Luzern, Zürich oder Zug ein Geschäft eröffnen, was ihm umsomehr zuzumuten ist, als er zugibt, er empfange in Schwyz schon heute Kunden aus Zürich, Luzern usw. Ein Geschäft in Luzern z.B. kann er sogar unter Beibehaltung seiner Wohnung in Brunnen führen. Übrigens versucht er das Konkurrenzverbot nicht nach Ort und Gegenstand als unbillig hinzustellen. Er möchte nur seine Dauer von drei Jahren auf ein Jahr herabsetzen lassen. Das wirtschaftliche Fortkommen wird ihm indessen durch eine Dauer von drei Jahren nicht unbillig erschwert. Für drei Jahre wurde ein Konkurrenzverbot z.B. auch in dem in BGE 61 II 90 ff. veröffentlichten Falle eines Reitlehrers und Leiters einer Reitanstalt geschützt, obschon damals Wirtschaftskrise herrschte.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